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962E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962EB" w:rsidRDefault="003159F9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962EB" w:rsidRDefault="003159F9">
            <w:pPr>
              <w:spacing w:after="0" w:line="240" w:lineRule="auto"/>
            </w:pPr>
            <w:r>
              <w:t>18660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962EB" w:rsidRDefault="003159F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962EB" w:rsidRDefault="003159F9">
            <w:pPr>
              <w:spacing w:after="0" w:line="240" w:lineRule="auto"/>
            </w:pPr>
            <w:r>
              <w:t>MEDICINSKA ŠKOLA DUBROVNIK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962EB" w:rsidRDefault="003159F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962EB" w:rsidRDefault="003159F9">
            <w:pPr>
              <w:spacing w:after="0" w:line="240" w:lineRule="auto"/>
            </w:pPr>
            <w:r>
              <w:t>31</w:t>
            </w:r>
          </w:p>
        </w:tc>
      </w:tr>
    </w:tbl>
    <w:p w:rsidR="004962EB" w:rsidRDefault="003159F9">
      <w:r>
        <w:br/>
      </w:r>
    </w:p>
    <w:p w:rsidR="004962EB" w:rsidRDefault="003159F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962EB" w:rsidRDefault="003159F9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962EB" w:rsidRDefault="003159F9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943.414,87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1.034.965,74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941.091,07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1.112.149,28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4962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77.183,54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1.155,36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4962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1.155,36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1.409,41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122,0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4962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4962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78.592,95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Ukupni prihodi škole iznosili su 1.034.965,74 eura.</w:t>
      </w:r>
    </w:p>
    <w:p w:rsidR="004962EB" w:rsidRDefault="003159F9">
      <w:r>
        <w:t>Ukupni rashodi škole iznosili su 1.112.149,28 eura (mat. i financ.)</w:t>
      </w:r>
    </w:p>
    <w:p w:rsidR="004962EB" w:rsidRDefault="003159F9">
      <w:r>
        <w:lastRenderedPageBreak/>
        <w:t>Rashodi za nabavu nefinancijske imovine iznosili su 1.409,41 eura. </w:t>
      </w:r>
    </w:p>
    <w:p w:rsidR="004962EB" w:rsidRDefault="003159F9">
      <w:r>
        <w:t xml:space="preserve">Iz toga proizlazi da je manjak prihoda poslovanja u 2025.godini 78.592,95 euro (Y004)na PR-RAS-u a kako je iz prethodne </w:t>
      </w:r>
      <w:r>
        <w:t>2024. godine preneseno ukupno 38.685,22 eura. proizlazi da je manjak prihoda i primitaka za pokriće u sljedećem razdoblju 38.907,73eura.(Y006) u PR-RAS-u.</w:t>
      </w:r>
    </w:p>
    <w:p w:rsidR="004962EB" w:rsidRDefault="003159F9">
      <w:r>
        <w:t> </w:t>
      </w:r>
    </w:p>
    <w:p w:rsidR="004962EB" w:rsidRDefault="003159F9">
      <w:r>
        <w:br/>
      </w:r>
    </w:p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70,7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Odnose se na prihode od uplate za duplikate svjedodžbi, prihode s osnova osiguranja refundacije štete i smanjeni su u odnosu na prošlu godinu jer smo lani imali više takozvanih prihoda i za refundaciju štete sa osnova osiguranja i zbog manje izdanih prijep</w:t>
      </w:r>
      <w:r>
        <w:t>isa tj.duplikata svjedodžbi.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</w:t>
            </w:r>
            <w:r>
              <w:rPr>
                <w:sz w:val="18"/>
              </w:rPr>
              <w:t>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24.650,30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29.664,55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Prihodi od vlastite djelatnosti (posredovanje pri zapošljavanju) povećani su za 20% u odnosu na prošlu godinu zbog većeg obima posla a isto tako i donacije od trgovačkih društava koje se odnose na maturalno putovanje naših učenika(zbog pokrića rashoda dnev</w:t>
      </w:r>
      <w:r>
        <w:t>nica za profesore).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774.249,42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896.024,50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Došlo je do neznatnog povećanja indeksa u odnosu na prošlu godinu za 16% zbog primjene odluke o povećanju osnovice za obračun plaće.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34,5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N kontu 3213 Stručno usavršavanje zaposlenika manji iznos zbog manjih potreba za str.usavršavanjem i zbog razloga jer smo lani imali tečajeve u svezi polaganja ispita i obnove Tehnoekspert za osposobljavanje djelatnika za sigurne mjere i zaštitu od požara.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2789,4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Na kontu 3222 Materijal i sirovine znatno povećanje iznosa jer smo u ovoj godini dobili novi program za Shemu školskog voća koji lani nismo imali.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337,2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Povećanje indeksa na sitnom inventaru zbog većih potreba u odnosu na prošlu godinu između ostalog i novih tokena za naše djelatnike, nova dva vatrogasna aparata ...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</w:t>
            </w:r>
            <w:r>
              <w:rPr>
                <w:b/>
                <w:sz w:val="18"/>
              </w:rPr>
              <w:t>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2.389,05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lastRenderedPageBreak/>
        <w:t>Poz.3236 Zdravstvene i veterinarske usluge veliki indeks je jer smo u ovoj godini obavili sistematski pregled djelatnika škole a uprošloj 2024.godini nismo imali taj rashod osim redovitog sanitarnog pregleda.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101.969,50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150.355,63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147,5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Na poz.3237 Intelektualne i osobne usluge povećanje je skoro 50% zbog večeg broja zaposlenih tj.ugovora o povremenom radu vanjskih suradnika u nastavi a ujedno i većom osnovicom za plaće.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6.042,50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626,2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Veliki indeks je rezultat angažiranja zaštitara za čuvanje osoba a taj rashod nismo imali u prošloj godini.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425,0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Na poz.324 povećanje jer je u ovoj godini više učenika išlo na putovanje u okviru Projekta E-Medica koji nam se svake godine financira iz decentraliziranih sredstava.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</w:t>
            </w:r>
            <w:r>
              <w:rPr>
                <w:b/>
                <w:sz w:val="18"/>
              </w:rPr>
              <w:t xml:space="preserve">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42.426,80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 POZ.111 NOVAC U BANCI</w:t>
      </w:r>
    </w:p>
    <w:p w:rsidR="004962EB" w:rsidRDefault="003159F9">
      <w:r>
        <w:t>Stanje novčanih računa na dan 31.12.2022 iznosilo je 0,00 eura jer smo sva sredstva na računu prebacili na Županiju sa datumom 31.12.2025. radi ulaska u punu riznicu( konto 167)</w:t>
      </w:r>
    </w:p>
    <w:p w:rsidR="004962EB" w:rsidRDefault="003159F9">
      <w:r>
        <w:t> 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</w:t>
            </w:r>
            <w:r>
              <w:rPr>
                <w:b/>
                <w:sz w:val="18"/>
              </w:rPr>
              <w:t>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81.099,11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Odnosi se na obračunatu plaću za 12 mjesec koja je isplaćena u siječnju 2026.godine.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>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81.099,11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Nema indeksa zbog novog načina knjiženja temeljnica za obračun plaće 1636 i9636.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715,36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38.907,73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5438,9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lastRenderedPageBreak/>
        <w:t>Bilješka uz provedene korekcije rezultata</w:t>
      </w:r>
    </w:p>
    <w:p w:rsidR="004962EB" w:rsidRDefault="003159F9">
      <w:r>
        <w:t> </w:t>
      </w:r>
    </w:p>
    <w:p w:rsidR="004962EB" w:rsidRDefault="003159F9">
      <w:r>
        <w:t>U 2025.ostvarili smo manjak prihoda poslovanja od 77.183,54(Y001) i manjak prihoda od nefinancijske imovine  1.409,41 (Y002).</w:t>
      </w:r>
    </w:p>
    <w:p w:rsidR="004962EB" w:rsidRDefault="003159F9">
      <w:r>
        <w:t xml:space="preserve">Na računu 6362 Kapitalne pomoći proračunskim korisnicima dobili smo sredstva koja smo uložili u nematerijalnu dugotrajnu imovinu odnosno knjige u knjižniciu iznosu 364,41 eura a na računu 6712 Prihodi iz nadležnog proračuna za nabavu nefinancijske imovine </w:t>
      </w:r>
      <w:r>
        <w:t>700,00 eur.</w:t>
      </w:r>
    </w:p>
    <w:p w:rsidR="004962EB" w:rsidRDefault="003159F9">
      <w:r>
        <w:t>Provedene su obvezne korekcije rezultat na kraju godine na računu 9222 te smo umanjili iznos za 1064,41 a odobrili račun 9221 Višak prihoda poslovanja.</w:t>
      </w:r>
    </w:p>
    <w:p w:rsidR="004962EB" w:rsidRDefault="003159F9">
      <w:r>
        <w:t>Podaci u Bilanci iskazani su nakon obvezne korekcije pa je konačan rezultat poslovanja odnos</w:t>
      </w:r>
      <w:r>
        <w:t>no Manjak prihoda poslovanja u BILANCI 38.562,73 eur i Manjak prihoda od nefinancijske imovine 92222 u iznosu 345 eura što je  Manjak prihoda i primitaka za pokriće u sljedećem razdoblju (Y006) u PR-RAS-u 38.907,73 EUR.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b/>
          <w:sz w:val="28"/>
        </w:rPr>
        <w:t>Promjene u vrijednosti i obujmu imo</w:t>
      </w:r>
      <w:r>
        <w:rPr>
          <w:b/>
          <w:sz w:val="28"/>
        </w:rPr>
        <w:t>vine i obveza</w:t>
      </w:r>
    </w:p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4962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nefinancijske imovine (šifre P017 do P022)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U koloni P016 iskazano je smanjenje od 17.61 eur kao rezultat rashoda proizvedene dugotrajne imovine koja je u trenutku otpisa imala knjigovodstvenu vrijednost 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4962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Na poz.P035 također smanjenje kao rezultat otpisa zastarjelih pretplata računa dobavljača nakon međusobnog usklađenja.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4962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Nema dospjelih obveza.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4962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1.094,08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Na POZ V010  među nedospjelim obvezama su obračunata bolovanja iznad 42 dana u iznosu 1.094,08 eura.</w:t>
      </w:r>
    </w:p>
    <w:p w:rsidR="004962EB" w:rsidRDefault="004962EB"/>
    <w:p w:rsidR="004962EB" w:rsidRDefault="003159F9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962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962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83.229,47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962EB" w:rsidRDefault="003159F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962EB" w:rsidRDefault="004962EB">
      <w:pPr>
        <w:spacing w:after="0"/>
      </w:pPr>
    </w:p>
    <w:p w:rsidR="004962EB" w:rsidRDefault="003159F9">
      <w:r>
        <w:t>Na POZ ND23( Obveze za rashode poslovanja) su iskazane plaća i ugovori za 12.mjesec 2025.kao i režije za 12.mjesec koje dospijevaju na naplatu u siječnju 2026.godine. </w:t>
      </w:r>
    </w:p>
    <w:p w:rsidR="004962EB" w:rsidRDefault="004962EB"/>
    <w:sectPr w:rsidR="004962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EB"/>
    <w:rsid w:val="003159F9"/>
    <w:rsid w:val="0049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2A1A50-8E56-4FAB-8D45-BD9F9B6F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dcterms:created xsi:type="dcterms:W3CDTF">2026-02-10T08:49:00Z</dcterms:created>
  <dcterms:modified xsi:type="dcterms:W3CDTF">2026-02-10T08:49:00Z</dcterms:modified>
</cp:coreProperties>
</file>