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4416A" w14:textId="77777777" w:rsidR="002A269C" w:rsidRDefault="00B95C6A">
      <w:pPr>
        <w:spacing w:after="103"/>
        <w:ind w:left="35" w:right="26"/>
        <w:jc w:val="center"/>
      </w:pPr>
      <w:r>
        <w:rPr>
          <w:b/>
        </w:rPr>
        <w:t xml:space="preserve">OBRAZLOŽENJE </w:t>
      </w:r>
    </w:p>
    <w:p w14:paraId="7E7E72BE" w14:textId="62EEA081" w:rsidR="002A269C" w:rsidRDefault="00B95C6A">
      <w:pPr>
        <w:spacing w:after="0"/>
        <w:ind w:left="35" w:right="0"/>
        <w:jc w:val="center"/>
      </w:pPr>
      <w:r>
        <w:rPr>
          <w:b/>
        </w:rPr>
        <w:t xml:space="preserve">NACRTA PRIJEDLOGA </w:t>
      </w:r>
      <w:r w:rsidR="002210B4">
        <w:rPr>
          <w:b/>
        </w:rPr>
        <w:t xml:space="preserve">IZMJENA I DOPUNA </w:t>
      </w:r>
      <w:r>
        <w:rPr>
          <w:b/>
        </w:rPr>
        <w:t xml:space="preserve">PRAVLINIKA O PROVEDBI POSTUPAKA JEDNOSTAVNE NABAVE </w:t>
      </w:r>
      <w:r w:rsidR="00725331">
        <w:rPr>
          <w:b/>
        </w:rPr>
        <w:t>U ŠKOLI</w:t>
      </w:r>
    </w:p>
    <w:p w14:paraId="5404F129" w14:textId="77777777" w:rsidR="002A269C" w:rsidRDefault="00B95C6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CFF3D5" w14:textId="2D4A0464" w:rsidR="002A269C" w:rsidRDefault="002A269C">
      <w:pPr>
        <w:spacing w:after="55" w:line="259" w:lineRule="auto"/>
        <w:ind w:left="0" w:right="0" w:firstLine="0"/>
        <w:jc w:val="left"/>
        <w:rPr>
          <w:b/>
          <w:sz w:val="23"/>
        </w:rPr>
      </w:pPr>
    </w:p>
    <w:p w14:paraId="0B972921" w14:textId="41117E53" w:rsidR="002210B4" w:rsidRDefault="002210B4">
      <w:pPr>
        <w:spacing w:after="55" w:line="259" w:lineRule="auto"/>
        <w:ind w:left="0" w:right="0" w:firstLine="0"/>
        <w:jc w:val="left"/>
        <w:rPr>
          <w:b/>
          <w:sz w:val="23"/>
        </w:rPr>
      </w:pPr>
    </w:p>
    <w:p w14:paraId="627F4D9F" w14:textId="039ADC06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 xml:space="preserve">Uprava za politiku javne nabave Ministarstva gospodarstva, objavila je krajem srpnja 2026. godine </w:t>
      </w:r>
      <w:r w:rsidRPr="002210B4">
        <w:rPr>
          <w:b/>
          <w:bCs/>
          <w:sz w:val="23"/>
        </w:rPr>
        <w:t>Smjernice za provedbu postupaka jednostavne nabave</w:t>
      </w:r>
      <w:r w:rsidRPr="002210B4">
        <w:rPr>
          <w:b/>
          <w:sz w:val="23"/>
        </w:rPr>
        <w:t>. Najvažnija uputa se odnosi na pravnu zaštitu u jednostavnoj nabavi</w:t>
      </w:r>
      <w:r>
        <w:rPr>
          <w:b/>
          <w:sz w:val="23"/>
        </w:rPr>
        <w:t>.</w:t>
      </w:r>
    </w:p>
    <w:p w14:paraId="48D1B510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> </w:t>
      </w:r>
    </w:p>
    <w:p w14:paraId="301BFAA9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 xml:space="preserve">Unatoč tome što zakonska odredba o pravu na prigovor u postupcima jednostavne nabave za sve naručitelje glasi jednako </w:t>
      </w:r>
      <w:r w:rsidRPr="002210B4">
        <w:rPr>
          <w:b/>
          <w:bCs/>
          <w:sz w:val="23"/>
          <w:u w:val="single"/>
        </w:rPr>
        <w:t>nakon objave smjernica proizlazi da put pravne zaštite nije isti za sve naručitelje.</w:t>
      </w:r>
    </w:p>
    <w:p w14:paraId="3C6BE2B0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bCs/>
          <w:sz w:val="23"/>
        </w:rPr>
        <w:t> </w:t>
      </w:r>
    </w:p>
    <w:p w14:paraId="11E443BF" w14:textId="7B5B052E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>Naime,</w:t>
      </w:r>
      <w:r w:rsidRPr="002210B4">
        <w:rPr>
          <w:b/>
          <w:bCs/>
          <w:sz w:val="23"/>
        </w:rPr>
        <w:t xml:space="preserve"> </w:t>
      </w:r>
      <w:r w:rsidRPr="002210B4">
        <w:rPr>
          <w:b/>
          <w:sz w:val="23"/>
        </w:rPr>
        <w:t>smjernicama je</w:t>
      </w:r>
      <w:r w:rsidRPr="002210B4">
        <w:rPr>
          <w:b/>
          <w:bCs/>
          <w:sz w:val="23"/>
        </w:rPr>
        <w:t xml:space="preserve"> </w:t>
      </w:r>
      <w:r w:rsidRPr="002210B4">
        <w:rPr>
          <w:b/>
          <w:sz w:val="23"/>
        </w:rPr>
        <w:t xml:space="preserve">napravljena značajna razlika između naručitelja koji su </w:t>
      </w:r>
      <w:r w:rsidRPr="002210B4">
        <w:rPr>
          <w:rFonts w:ascii="Cambria Math" w:hAnsi="Cambria Math" w:cs="Cambria Math"/>
          <w:b/>
          <w:sz w:val="23"/>
        </w:rPr>
        <w:t>𝐉𝐚𝐯𝐧𝐨𝐩𝐫𝐚𝐯𝐧𝐚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𝐭𝐢𝐣𝐞𝐥𝐚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𝐢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𝐩𝐫𝐮</w:t>
      </w:r>
      <w:r w:rsidRPr="002210B4">
        <w:rPr>
          <w:b/>
          <w:sz w:val="23"/>
        </w:rPr>
        <w:t>ž</w:t>
      </w:r>
      <w:r w:rsidRPr="002210B4">
        <w:rPr>
          <w:rFonts w:ascii="Cambria Math" w:hAnsi="Cambria Math" w:cs="Cambria Math"/>
          <w:b/>
          <w:sz w:val="23"/>
        </w:rPr>
        <w:t>𝐚𝐭𝐞𝐥𝐣𝐢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𝐣𝐚𝐯𝐧𝐢𝐡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𝐮𝐬𝐥𝐮𝐠𝐚</w:t>
      </w:r>
      <w:r w:rsidRPr="002210B4">
        <w:rPr>
          <w:b/>
          <w:sz w:val="23"/>
        </w:rPr>
        <w:t xml:space="preserve"> </w:t>
      </w:r>
      <w:r w:rsidRPr="002210B4">
        <w:rPr>
          <w:b/>
          <w:bCs/>
          <w:sz w:val="23"/>
        </w:rPr>
        <w:t>(škole i sl.)</w:t>
      </w:r>
      <w:r w:rsidRPr="002210B4">
        <w:rPr>
          <w:b/>
          <w:sz w:val="23"/>
        </w:rPr>
        <w:t xml:space="preserve"> i </w:t>
      </w:r>
      <w:r w:rsidRPr="002210B4">
        <w:rPr>
          <w:rFonts w:ascii="Cambria Math" w:hAnsi="Cambria Math" w:cs="Cambria Math"/>
          <w:b/>
          <w:sz w:val="23"/>
        </w:rPr>
        <w:t>𝐎𝐬𝐭𝐚𝐥𝐢</w:t>
      </w:r>
      <w:r w:rsidRPr="002210B4">
        <w:rPr>
          <w:b/>
          <w:sz w:val="23"/>
        </w:rPr>
        <w:t xml:space="preserve">h </w:t>
      </w:r>
      <w:r w:rsidRPr="002210B4">
        <w:rPr>
          <w:rFonts w:ascii="Cambria Math" w:hAnsi="Cambria Math" w:cs="Cambria Math"/>
          <w:b/>
          <w:sz w:val="23"/>
        </w:rPr>
        <w:t>𝐧𝐚𝐫𝐮</w:t>
      </w:r>
      <w:r w:rsidRPr="002210B4">
        <w:rPr>
          <w:b/>
          <w:sz w:val="23"/>
        </w:rPr>
        <w:t>č</w:t>
      </w:r>
      <w:r w:rsidRPr="002210B4">
        <w:rPr>
          <w:rFonts w:ascii="Cambria Math" w:hAnsi="Cambria Math" w:cs="Cambria Math"/>
          <w:b/>
          <w:sz w:val="23"/>
        </w:rPr>
        <w:t>𝐢𝐭𝐞𝐥𝐣</w:t>
      </w:r>
      <w:r w:rsidR="00725331">
        <w:rPr>
          <w:rFonts w:ascii="Cambria Math" w:hAnsi="Cambria Math" w:cs="Cambria Math"/>
          <w:b/>
          <w:sz w:val="23"/>
        </w:rPr>
        <w:t>a</w:t>
      </w:r>
      <w:r w:rsidRPr="002210B4">
        <w:rPr>
          <w:b/>
          <w:sz w:val="23"/>
        </w:rPr>
        <w:t xml:space="preserve"> (</w:t>
      </w:r>
      <w:r w:rsidRPr="002210B4">
        <w:rPr>
          <w:rFonts w:ascii="Cambria Math" w:hAnsi="Cambria Math" w:cs="Cambria Math"/>
          <w:b/>
          <w:sz w:val="23"/>
        </w:rPr>
        <w:t>𝐭𝐫𝐠𝐨𝐯𝐚</w:t>
      </w:r>
      <w:r w:rsidRPr="002210B4">
        <w:rPr>
          <w:b/>
          <w:sz w:val="23"/>
        </w:rPr>
        <w:t>č</w:t>
      </w:r>
      <w:r w:rsidRPr="002210B4">
        <w:rPr>
          <w:rFonts w:ascii="Cambria Math" w:hAnsi="Cambria Math" w:cs="Cambria Math"/>
          <w:b/>
          <w:sz w:val="23"/>
        </w:rPr>
        <w:t>𝐤𝐚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𝐝𝐫𝐮</w:t>
      </w:r>
      <w:r w:rsidRPr="002210B4">
        <w:rPr>
          <w:b/>
          <w:sz w:val="23"/>
        </w:rPr>
        <w:t>š</w:t>
      </w:r>
      <w:r w:rsidRPr="002210B4">
        <w:rPr>
          <w:rFonts w:ascii="Cambria Math" w:hAnsi="Cambria Math" w:cs="Cambria Math"/>
          <w:b/>
          <w:sz w:val="23"/>
        </w:rPr>
        <w:t>𝐭𝐯𝐚</w:t>
      </w:r>
      <w:r w:rsidRPr="002210B4">
        <w:rPr>
          <w:b/>
          <w:sz w:val="23"/>
        </w:rPr>
        <w:t xml:space="preserve">, </w:t>
      </w:r>
      <w:r w:rsidRPr="002210B4">
        <w:rPr>
          <w:rFonts w:ascii="Cambria Math" w:hAnsi="Cambria Math" w:cs="Cambria Math"/>
          <w:b/>
          <w:sz w:val="23"/>
        </w:rPr>
        <w:t>𝐣𝐚𝐯𝐧𝐞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𝐮𝐬𝐭𝐚𝐧𝐨𝐯𝐞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𝐬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𝐩𝐫𝐢𝐯𝐚𝐭𝐧𝐨𝐩𝐫𝐚𝐯𝐧𝐢𝐦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𝐮𝐬𝐭𝐫𝐨𝐣𝐬𝐭𝐯𝐨𝐦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𝐢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𝐬𝐥</w:t>
      </w:r>
      <w:r w:rsidRPr="002210B4">
        <w:rPr>
          <w:b/>
          <w:sz w:val="23"/>
        </w:rPr>
        <w:t>.) na način kako slijedi:</w:t>
      </w:r>
    </w:p>
    <w:p w14:paraId="7D07A6A3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> </w:t>
      </w:r>
    </w:p>
    <w:p w14:paraId="2990BA85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bCs/>
          <w:sz w:val="23"/>
        </w:rPr>
        <w:t xml:space="preserve">a)      </w:t>
      </w:r>
      <w:r w:rsidRPr="002210B4">
        <w:rPr>
          <w:rFonts w:ascii="Cambria Math" w:hAnsi="Cambria Math" w:cs="Cambria Math"/>
          <w:b/>
          <w:sz w:val="23"/>
        </w:rPr>
        <w:t>𝐉𝐚𝐯𝐧𝐨𝐩𝐫𝐚𝐯𝐧𝐚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𝐭𝐢𝐣𝐞𝐥𝐚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𝐢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𝐩𝐫𝐮</w:t>
      </w:r>
      <w:r w:rsidRPr="002210B4">
        <w:rPr>
          <w:b/>
          <w:sz w:val="23"/>
        </w:rPr>
        <w:t>ž</w:t>
      </w:r>
      <w:r w:rsidRPr="002210B4">
        <w:rPr>
          <w:rFonts w:ascii="Cambria Math" w:hAnsi="Cambria Math" w:cs="Cambria Math"/>
          <w:b/>
          <w:sz w:val="23"/>
        </w:rPr>
        <w:t>𝐚𝐭𝐞𝐥𝐣𝐢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𝐣𝐚𝐯𝐧𝐢𝐡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𝐮𝐬𝐥𝐮𝐠𝐚</w:t>
      </w:r>
      <w:r w:rsidRPr="002210B4">
        <w:rPr>
          <w:b/>
          <w:sz w:val="23"/>
        </w:rPr>
        <w:t xml:space="preserve"> (č</w:t>
      </w:r>
      <w:r w:rsidRPr="002210B4">
        <w:rPr>
          <w:rFonts w:ascii="Cambria Math" w:hAnsi="Cambria Math" w:cs="Cambria Math"/>
          <w:b/>
          <w:sz w:val="23"/>
        </w:rPr>
        <w:t>𝐥</w:t>
      </w:r>
      <w:r w:rsidRPr="002210B4">
        <w:rPr>
          <w:b/>
          <w:sz w:val="23"/>
        </w:rPr>
        <w:t xml:space="preserve">. 156. </w:t>
      </w:r>
      <w:r w:rsidRPr="002210B4">
        <w:rPr>
          <w:rFonts w:ascii="Cambria Math" w:hAnsi="Cambria Math" w:cs="Cambria Math"/>
          <w:b/>
          <w:sz w:val="23"/>
        </w:rPr>
        <w:t>𝐙𝐔𝐏</w:t>
      </w:r>
      <w:r w:rsidRPr="002210B4">
        <w:rPr>
          <w:b/>
          <w:sz w:val="23"/>
        </w:rPr>
        <w:t>-</w:t>
      </w:r>
      <w:r w:rsidRPr="002210B4">
        <w:rPr>
          <w:rFonts w:ascii="Cambria Math" w:hAnsi="Cambria Math" w:cs="Cambria Math"/>
          <w:b/>
          <w:sz w:val="23"/>
        </w:rPr>
        <w:t>𝐚</w:t>
      </w:r>
      <w:r w:rsidRPr="002210B4">
        <w:rPr>
          <w:b/>
          <w:sz w:val="23"/>
        </w:rPr>
        <w:t>)</w:t>
      </w:r>
      <w:r w:rsidRPr="002210B4">
        <w:rPr>
          <w:b/>
          <w:sz w:val="23"/>
        </w:rPr>
        <w:br/>
        <w:t xml:space="preserve">Prigovor se podnosi čelniku tijela sukladno čl. 156. ZUP-a. </w:t>
      </w:r>
      <w:r w:rsidRPr="002210B4">
        <w:rPr>
          <w:b/>
          <w:sz w:val="23"/>
          <w:u w:val="single"/>
        </w:rPr>
        <w:t>Rješenje o prigovoru donosi se u upravnom postupku</w:t>
      </w:r>
      <w:r w:rsidRPr="002210B4">
        <w:rPr>
          <w:b/>
          <w:sz w:val="23"/>
        </w:rPr>
        <w:t xml:space="preserve">, ukoliko naručitelj usvoji prigovor i donese novu odluku o odabiru, važno je voditi računa da i na takvu odluku ponuditelji iz istog postupka imaju pravo na pravnu zaštitu putem prigovora kako je prethodno pojašnjeno, budući Rješenje o prigovoru  predstavlja upravni akt protiv njega je dopušteno pokretanje upravnog spora pred nadležnim upravnim sudom. </w:t>
      </w:r>
    </w:p>
    <w:p w14:paraId="30504B2C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bCs/>
          <w:sz w:val="23"/>
        </w:rPr>
        <w:t xml:space="preserve">b)      </w:t>
      </w:r>
      <w:r w:rsidRPr="002210B4">
        <w:rPr>
          <w:b/>
          <w:sz w:val="23"/>
          <w:u w:val="single"/>
        </w:rPr>
        <w:t>Ovlast odlučivanja o prigovoru ne može se prenijeti na drugu osobu već o prigovoru izričito odlučuje čelnik tijela odnosno odgovorna osoba naručitelja, to je već navedeno i izrijekom određeno ZUP-om i potvrđeno sudskom praksom</w:t>
      </w:r>
      <w:r w:rsidRPr="002210B4">
        <w:rPr>
          <w:b/>
          <w:sz w:val="23"/>
        </w:rPr>
        <w:t>.</w:t>
      </w:r>
    </w:p>
    <w:p w14:paraId="13609C12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> </w:t>
      </w:r>
    </w:p>
    <w:p w14:paraId="787B8D44" w14:textId="77777777" w:rsidR="00047EAC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bCs/>
          <w:sz w:val="23"/>
        </w:rPr>
        <w:t xml:space="preserve">c)       </w:t>
      </w:r>
      <w:r w:rsidRPr="002210B4">
        <w:rPr>
          <w:rFonts w:ascii="Cambria Math" w:hAnsi="Cambria Math" w:cs="Cambria Math"/>
          <w:b/>
          <w:sz w:val="23"/>
        </w:rPr>
        <w:t>𝐎𝐬𝐭𝐚𝐥𝐢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𝐧𝐚𝐫𝐮</w:t>
      </w:r>
      <w:r w:rsidRPr="002210B4">
        <w:rPr>
          <w:b/>
          <w:sz w:val="23"/>
        </w:rPr>
        <w:t>č</w:t>
      </w:r>
      <w:r w:rsidRPr="002210B4">
        <w:rPr>
          <w:rFonts w:ascii="Cambria Math" w:hAnsi="Cambria Math" w:cs="Cambria Math"/>
          <w:b/>
          <w:sz w:val="23"/>
        </w:rPr>
        <w:t>𝐢𝐭𝐞𝐥𝐣𝐢</w:t>
      </w:r>
      <w:r w:rsidRPr="002210B4">
        <w:rPr>
          <w:b/>
          <w:sz w:val="23"/>
        </w:rPr>
        <w:t xml:space="preserve"> (</w:t>
      </w:r>
      <w:r w:rsidRPr="002210B4">
        <w:rPr>
          <w:rFonts w:ascii="Cambria Math" w:hAnsi="Cambria Math" w:cs="Cambria Math"/>
          <w:b/>
          <w:sz w:val="23"/>
        </w:rPr>
        <w:t>𝐭𝐫𝐠𝐨𝐯𝐚</w:t>
      </w:r>
      <w:r w:rsidRPr="002210B4">
        <w:rPr>
          <w:b/>
          <w:sz w:val="23"/>
        </w:rPr>
        <w:t>č</w:t>
      </w:r>
      <w:r w:rsidRPr="002210B4">
        <w:rPr>
          <w:rFonts w:ascii="Cambria Math" w:hAnsi="Cambria Math" w:cs="Cambria Math"/>
          <w:b/>
          <w:sz w:val="23"/>
        </w:rPr>
        <w:t>𝐤𝐚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𝐝𝐫𝐮</w:t>
      </w:r>
      <w:r w:rsidRPr="002210B4">
        <w:rPr>
          <w:b/>
          <w:sz w:val="23"/>
        </w:rPr>
        <w:t>š</w:t>
      </w:r>
      <w:r w:rsidRPr="002210B4">
        <w:rPr>
          <w:rFonts w:ascii="Cambria Math" w:hAnsi="Cambria Math" w:cs="Cambria Math"/>
          <w:b/>
          <w:sz w:val="23"/>
        </w:rPr>
        <w:t>𝐭𝐯𝐚</w:t>
      </w:r>
      <w:r w:rsidRPr="002210B4">
        <w:rPr>
          <w:b/>
          <w:sz w:val="23"/>
        </w:rPr>
        <w:t xml:space="preserve">, </w:t>
      </w:r>
      <w:r w:rsidRPr="002210B4">
        <w:rPr>
          <w:rFonts w:ascii="Cambria Math" w:hAnsi="Cambria Math" w:cs="Cambria Math"/>
          <w:b/>
          <w:sz w:val="23"/>
        </w:rPr>
        <w:t>𝐣𝐚𝐯𝐧𝐞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𝐮𝐬𝐭𝐚𝐧𝐨𝐯𝐞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𝐬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𝐩𝐫𝐢𝐯𝐚𝐭𝐧𝐨𝐩𝐫𝐚𝐯𝐧𝐢𝐦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𝐮𝐬𝐭𝐫𝐨𝐣𝐬𝐭𝐯𝐨𝐦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𝐢</w:t>
      </w:r>
      <w:r w:rsidRPr="002210B4">
        <w:rPr>
          <w:b/>
          <w:sz w:val="23"/>
        </w:rPr>
        <w:t xml:space="preserve"> </w:t>
      </w:r>
      <w:r w:rsidRPr="002210B4">
        <w:rPr>
          <w:rFonts w:ascii="Cambria Math" w:hAnsi="Cambria Math" w:cs="Cambria Math"/>
          <w:b/>
          <w:sz w:val="23"/>
        </w:rPr>
        <w:t>𝐬𝐥</w:t>
      </w:r>
      <w:r w:rsidRPr="002210B4">
        <w:rPr>
          <w:b/>
          <w:sz w:val="23"/>
        </w:rPr>
        <w:t>.)</w:t>
      </w:r>
    </w:p>
    <w:p w14:paraId="7C502425" w14:textId="36E770F3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br/>
        <w:t>Ovdje nema jednog modela. Način podnošenja i rješavanja prigovora te daljnji put pravne zaštite uređuju se internim aktima i propisima koji uređuju ustrojstvo i poslovanje pojedinog naručitelja. Prigovor se podnosi odgovornoj osobi ili drugom nadležnom tijelu određenom internim aktima.</w:t>
      </w:r>
    </w:p>
    <w:p w14:paraId="298795D4" w14:textId="77777777" w:rsidR="002210B4" w:rsidRP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> </w:t>
      </w:r>
    </w:p>
    <w:p w14:paraId="518BBF8E" w14:textId="66F7880D" w:rsid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 w:rsidRPr="002210B4">
        <w:rPr>
          <w:b/>
          <w:sz w:val="23"/>
        </w:rPr>
        <w:t>Uprava za politiku javne nabave Ministarstva gospodarstva navodi da je cilj ovih Smjernica uputiti naručitelje kako uskladiti opći akt za provedbu postupaka jednostavne nabave s izmjenama i dopunama ZJN 2016, odnosno objasniti na što naručitelji moraju obratiti pozornost prilikom donošenja svojih općih akata kako bi uređenje pravila, uvjeta i postupaka jednostavne nabave bilo sukladno odredbama ZJN 2016 te pridonijeti jačanju transparentnosti, integriteta i učinkovitom upravljanju korupcijskim rizicima u području javne nabave.</w:t>
      </w:r>
    </w:p>
    <w:p w14:paraId="412B4B91" w14:textId="34FEC248" w:rsidR="002210B4" w:rsidRDefault="002210B4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</w:p>
    <w:p w14:paraId="2C701E5F" w14:textId="01F36A16" w:rsidR="002210B4" w:rsidRPr="002210B4" w:rsidRDefault="00725331" w:rsidP="002210B4">
      <w:pPr>
        <w:spacing w:after="55" w:line="259" w:lineRule="auto"/>
        <w:ind w:left="0" w:right="0" w:firstLine="0"/>
        <w:jc w:val="left"/>
        <w:rPr>
          <w:b/>
          <w:sz w:val="23"/>
        </w:rPr>
      </w:pPr>
      <w:r>
        <w:rPr>
          <w:b/>
          <w:sz w:val="23"/>
        </w:rPr>
        <w:t>Kako bi se Pravilnik o provedbi</w:t>
      </w:r>
      <w:r w:rsidR="00B95C6A">
        <w:rPr>
          <w:b/>
          <w:sz w:val="23"/>
        </w:rPr>
        <w:t xml:space="preserve"> postupka</w:t>
      </w:r>
      <w:r>
        <w:rPr>
          <w:b/>
          <w:sz w:val="23"/>
        </w:rPr>
        <w:t xml:space="preserve"> jednostavne nabave u školi odnosno odredbe o pravno</w:t>
      </w:r>
      <w:r w:rsidR="00047EAC">
        <w:rPr>
          <w:b/>
          <w:sz w:val="23"/>
        </w:rPr>
        <w:t>j zaštiti uskladile sa smjernica</w:t>
      </w:r>
      <w:bookmarkStart w:id="0" w:name="_GoBack"/>
      <w:bookmarkEnd w:id="0"/>
      <w:r>
        <w:rPr>
          <w:b/>
          <w:sz w:val="23"/>
        </w:rPr>
        <w:t>ma Ministarstva gospodarstva</w:t>
      </w:r>
      <w:r w:rsidR="002210B4">
        <w:rPr>
          <w:b/>
          <w:sz w:val="23"/>
        </w:rPr>
        <w:t xml:space="preserve">  donesen je Prijedlog Izmjena i dopuna Pravilnika o provedbi postupka jednostavne nabave u školi.</w:t>
      </w:r>
    </w:p>
    <w:p w14:paraId="57281DDA" w14:textId="390E1D05" w:rsidR="002210B4" w:rsidRDefault="002210B4">
      <w:pPr>
        <w:spacing w:after="55" w:line="259" w:lineRule="auto"/>
        <w:ind w:left="0" w:right="0" w:firstLine="0"/>
        <w:jc w:val="left"/>
        <w:rPr>
          <w:b/>
          <w:sz w:val="23"/>
        </w:rPr>
      </w:pPr>
    </w:p>
    <w:p w14:paraId="6D7C2713" w14:textId="4EF3F113" w:rsidR="002210B4" w:rsidRDefault="002210B4">
      <w:pPr>
        <w:spacing w:after="55" w:line="259" w:lineRule="auto"/>
        <w:ind w:left="0" w:right="0" w:firstLine="0"/>
        <w:jc w:val="left"/>
        <w:rPr>
          <w:b/>
          <w:sz w:val="23"/>
        </w:rPr>
      </w:pPr>
    </w:p>
    <w:p w14:paraId="7F743267" w14:textId="77777777" w:rsidR="002210B4" w:rsidRDefault="002210B4">
      <w:pPr>
        <w:spacing w:after="55" w:line="259" w:lineRule="auto"/>
        <w:ind w:left="0" w:right="0" w:firstLine="0"/>
        <w:jc w:val="left"/>
      </w:pPr>
    </w:p>
    <w:p w14:paraId="53CA18A8" w14:textId="77777777" w:rsidR="002A269C" w:rsidRDefault="00B95C6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20BC8D" w14:textId="77777777" w:rsidR="002A269C" w:rsidRDefault="00B95C6A">
      <w:pPr>
        <w:spacing w:after="65" w:line="312" w:lineRule="auto"/>
        <w:ind w:left="7672" w:right="0" w:firstLine="238"/>
        <w:jc w:val="left"/>
        <w:rPr>
          <w:b/>
        </w:rPr>
      </w:pPr>
      <w:r>
        <w:rPr>
          <w:b/>
        </w:rPr>
        <w:t xml:space="preserve">Predlagatelj: </w:t>
      </w:r>
    </w:p>
    <w:p w14:paraId="01EE26B2" w14:textId="3BC7BBC7" w:rsidR="002A269C" w:rsidRDefault="00B95C6A">
      <w:pPr>
        <w:spacing w:after="65" w:line="312" w:lineRule="auto"/>
        <w:ind w:left="7672" w:right="0" w:firstLine="238"/>
        <w:jc w:val="left"/>
        <w:rPr>
          <w:b/>
        </w:rPr>
      </w:pPr>
      <w:r>
        <w:rPr>
          <w:b/>
        </w:rPr>
        <w:t xml:space="preserve">  Ravnatelj</w:t>
      </w:r>
      <w:r w:rsidR="00047EAC">
        <w:rPr>
          <w:b/>
        </w:rPr>
        <w:t>ica</w:t>
      </w:r>
      <w:r>
        <w:rPr>
          <w:b/>
        </w:rPr>
        <w:t>:</w:t>
      </w:r>
    </w:p>
    <w:p w14:paraId="027E77AD" w14:textId="77777777" w:rsidR="002A269C" w:rsidRDefault="00B95C6A">
      <w:pPr>
        <w:spacing w:after="0" w:line="259" w:lineRule="auto"/>
        <w:ind w:left="6132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1E3AAAD" wp14:editId="66175CA0">
                <wp:extent cx="1943735" cy="9525"/>
                <wp:effectExtent l="0" t="0" r="0" b="0"/>
                <wp:docPr id="1" name="Oblik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280" cy="9000"/>
                          <a:chOff x="0" y="0"/>
                          <a:chExt cx="0" cy="0"/>
                        </a:xfrm>
                      </wpg:grpSpPr>
                      <wps:wsp>
                        <wps:cNvPr id="2" name="Prostoručno: oblik 2"/>
                        <wps:cNvSpPr/>
                        <wps:spPr>
                          <a:xfrm>
                            <a:off x="0" y="0"/>
                            <a:ext cx="1943280" cy="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shape_0" alt="Oblik1" style="position:absolute;margin-left:0pt;margin-top:-0.75pt;width:153pt;height:0.7pt" coordorigin="0,-15" coordsize="3060,14"/>
            </w:pict>
          </mc:Fallback>
        </mc:AlternateContent>
      </w:r>
    </w:p>
    <w:p w14:paraId="48C1DE52" w14:textId="77777777" w:rsidR="002A269C" w:rsidRDefault="00B95C6A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507ACBA7" w14:textId="7E83F5C7" w:rsidR="002A269C" w:rsidRDefault="002A269C" w:rsidP="002210B4">
      <w:pPr>
        <w:spacing w:after="0" w:line="259" w:lineRule="auto"/>
        <w:ind w:left="0" w:right="0" w:firstLine="0"/>
        <w:jc w:val="left"/>
      </w:pPr>
    </w:p>
    <w:sectPr w:rsidR="002A269C">
      <w:pgSz w:w="11906" w:h="16838"/>
      <w:pgMar w:top="1489" w:right="1270" w:bottom="1389" w:left="127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D2B3A"/>
    <w:multiLevelType w:val="multilevel"/>
    <w:tmpl w:val="0A3CE2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0802D7"/>
    <w:multiLevelType w:val="multilevel"/>
    <w:tmpl w:val="585E7944"/>
    <w:lvl w:ilvl="0">
      <w:start w:val="1"/>
      <w:numFmt w:val="lowerLetter"/>
      <w:lvlText w:val="(%1)"/>
      <w:lvlJc w:val="left"/>
      <w:pPr>
        <w:tabs>
          <w:tab w:val="num" w:pos="0"/>
        </w:tabs>
        <w:ind w:left="8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4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>
    <w:nsid w:val="52E5507C"/>
    <w:multiLevelType w:val="multilevel"/>
    <w:tmpl w:val="BA3AD4E8"/>
    <w:lvl w:ilvl="0">
      <w:start w:val="1"/>
      <w:numFmt w:val="bullet"/>
      <w:lvlText w:val="–"/>
      <w:lvlJc w:val="left"/>
      <w:pPr>
        <w:tabs>
          <w:tab w:val="num" w:pos="0"/>
        </w:tabs>
        <w:ind w:left="1068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64" w:firstLine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84" w:firstLine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404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24" w:firstLine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44" w:firstLine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64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84" w:firstLine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04" w:firstLine="0"/>
      </w:pPr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9C"/>
    <w:rsid w:val="00047EAC"/>
    <w:rsid w:val="002210B4"/>
    <w:rsid w:val="002A269C"/>
    <w:rsid w:val="00725331"/>
    <w:rsid w:val="00B9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0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5" w:line="247" w:lineRule="auto"/>
      <w:ind w:left="176" w:right="885" w:hanging="10"/>
      <w:jc w:val="both"/>
    </w:pPr>
    <w:rPr>
      <w:rFonts w:ascii="Arial" w:eastAsia="Arial" w:hAnsi="Arial" w:cs="Arial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65" w:line="247" w:lineRule="auto"/>
      <w:ind w:left="10" w:right="2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qFormat/>
    <w:rPr>
      <w:rFonts w:ascii="Arial" w:eastAsia="Arial" w:hAnsi="Arial" w:cs="Arial"/>
      <w:b/>
      <w:color w:val="000000"/>
      <w:sz w:val="22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5" w:line="247" w:lineRule="auto"/>
      <w:ind w:left="176" w:right="885" w:hanging="10"/>
      <w:jc w:val="both"/>
    </w:pPr>
    <w:rPr>
      <w:rFonts w:ascii="Arial" w:eastAsia="Arial" w:hAnsi="Arial" w:cs="Arial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65" w:line="247" w:lineRule="auto"/>
      <w:ind w:left="10" w:right="2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qFormat/>
    <w:rPr>
      <w:rFonts w:ascii="Arial" w:eastAsia="Arial" w:hAnsi="Arial" w:cs="Arial"/>
      <w:b/>
      <w:color w:val="000000"/>
      <w:sz w:val="22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 Hađija</dc:creator>
  <cp:lastModifiedBy>Korisnik</cp:lastModifiedBy>
  <cp:revision>2</cp:revision>
  <dcterms:created xsi:type="dcterms:W3CDTF">2026-07-31T10:28:00Z</dcterms:created>
  <dcterms:modified xsi:type="dcterms:W3CDTF">2026-07-31T10:28:00Z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